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Sábado de la XVI semana del Tiempo ordinario</w:t>
      </w:r>
    </w:p>
    <w:p>
      <w:pPr/>
      <w:r>
        <w:rPr>
          <w:rFonts w:ascii="Cormorant Garamond" w:hAnsi="Cormorant Garamond"/>
          <w:sz w:val="22"/>
        </w:rPr>
        <w:t xml:space="preserve">Sábado 25 de julio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«El le preguntó: “¿Qué deseas?»</w:t>
      </w:r>
    </w:p>
    <w:p>
      <w:pPr/>
      <w:r>
        <w:rPr>
          <w:rFonts w:ascii="Cormorant Garamond" w:hAnsi="Cormorant Garamond"/>
          <w:sz w:val="22"/>
        </w:rPr>
        <w:t xml:space="preserve">Sábado de la XVI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 la segunda carta del apóstol san Pablo a los corintios (4, 7-15)</w:t>
      </w:r>
    </w:p>
    <w:p>
      <w:pPr/>
      <w:r>
        <w:rPr>
          <w:rFonts w:ascii="Cormorant Garamond" w:hAnsi="Cormorant Garamond"/>
          <w:sz w:val="22"/>
        </w:rPr>
        <w:t xml:space="preserve">Hermanos: Llevamos este tesoro en vasijas de barro, para que se vea que esta fuerza tan extraordinaria proviene de Dios y no de nosotros mismos. Por eso sufrimos toda clase de pruebas, pero no nos angustiamos. Nos abruman las preocupaciones, pero no nos desesperamos. Nos vemos perseguidos, pero no desamparados; derribados, pero no vencidos. Llevamos siempre y por todas partes la muerte de Jesús en nuestro cuerpo, para que en este mismo cuerpo se manifieste también la vida de Jesús. Nuestra vida es un continuo estar expuestos a la muerte por causa de Jesús, para que también la vida de Jesús se manifieste en nuestra carne mortal. De modo que la muerte actúa en nosotros, y en ustedes, la vida. Y como poseemos el mismo espíritu de fe que se expresa en aquel texto de la Escritura: Creo, por eso hablo, también nosotros creemos y por eso hablamos, sabiendo que aquel que resucitó a Jesús nos resucitará también a nosotros con Jesús y nos colocará a su lado con ustedes. Y todo esto es para bien de ustedes de manera que, al extenderse la gracia a más y más personas, se multiplique la acción de gracias para gloria de Dios.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125</w:t>
      </w:r>
    </w:p>
    <w:p>
      <w:pPr/>
      <w:r>
        <w:rPr>
          <w:rFonts w:ascii="Cormorant Garamond" w:hAnsi="Cormorant Garamond"/>
          <w:sz w:val="22"/>
        </w:rPr>
        <w:t xml:space="preserve">R/. Entre gritos de júbilo cosecharán aquellos que siembran con dolor.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Yo los he elegido del mundo, dice el Señor, para que vayan y den fruto y su fruto permanezca.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(20, 20-28)</w:t>
      </w:r>
    </w:p>
    <w:p>
      <w:pPr/>
      <w:r>
        <w:rPr>
          <w:rFonts w:ascii="Cormorant Garamond" w:hAnsi="Cormorant Garamond"/>
          <w:sz w:val="22"/>
        </w:rPr>
        <w:t xml:space="preserve">En aquel tiempo, se acercó a Jesús la madre de los hijos de Zebedeo, junto con ellos, y se postró para hacerle una petición. El le preguntó: “¿Qué deseas?” Ella respondió: “Concédeme que estos dos hijos míos se sienten, uno a tu derecha y el otro a tu izquierda, en tu Reino”. Pero Jesús replicó: “No saben ustedes lo que piden. ¿Podrán beber el cáliz que yo he de beber?”. Ellos contestaron: “Sí podemos”. Y él les dijo: “Beberán mi cáliz; pero eso de sentarse a mi derecha o a mi izquierda no me toca a mí concederlo; es para quien mi Padre lo tiene reservado”. Al oír aquello, los otros diez discípulos se indignaron contra los dos hermanos. Pero Jesús los llamó y les dijo: “Ya saben que los jefes de los pueblos los tiranizan y que los grandes los oprimen. Que no sea así entre ustedes. El que quiera ser grande entre ustedes, que sea el que los sirva, y el que quiera ser primero, que sea su esclavo; así como el Hijo del hombre no ha venido a ser servido, sino a servir y a dar la vida por la redención de todos”.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«Es como si Jesús les dijera: Vosotros me habláis de honores y de coronas, pero yo os hablo de luchas y fatigas. Éste no es tiempo de premios» (San Juan Crisóstomo)</w:t>
      </w:r>
    </w:p>
    <w:p>
      <w:pPr/>
      <w:r>
        <w:rPr>
          <w:rFonts w:ascii="Cormorant Garamond" w:hAnsi="Cormorant Garamond"/>
          <w:sz w:val="22"/>
        </w:rPr>
        <w:t xml:space="preserve">«La tentación del cristianismo sin la cruz, una Iglesia a medio camino, que no quiere llegar a donde el Padre quiere, es la tentación del triunfalismo. Queremos el triunfo de hoy, sin ir a la cruz, un triunfo mundano, un triunfo razonable» (Francisco)</w:t>
      </w:r>
    </w:p>
    <w:p>
      <w:pPr/>
      <w:r>
        <w:rPr>
          <w:rFonts w:ascii="Cormorant Garamond" w:hAnsi="Cormorant Garamond"/>
          <w:sz w:val="22"/>
        </w:rPr>
        <w:t xml:space="preserve">«La redención de Cristo consiste en que Él ‘ha venido a dar su vida como rescate por muchos’ (Mt 20,28), es decir ‘a amar a los suyos hasta el extremo’ (Jn 13,1) para que ellos fuesen ‘rescatados de la conducta necia heredada de sus padres’ (1Pe 1,18)» (Catecismo de la Iglesia Católica, nº 622)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Anunciar a Jesús con palabras y hechos.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