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Viernes de la XXV semana del Tiempo ordinario</w:t>
      </w:r>
    </w:p>
    <w:p>
      <w:pPr/>
      <w:r>
        <w:rPr>
          <w:rFonts w:ascii="Cormorant Garamond" w:hAnsi="Cormorant Garamond"/>
          <w:sz w:val="22"/>
        </w:rPr>
        <w:t xml:space="preserve">Viernes 25 de septiembre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«Y vosotros, ¿quién decís que soy yo?»</w:t>
      </w:r>
    </w:p>
    <w:p>
      <w:pPr/>
      <w:r>
        <w:rPr>
          <w:rFonts w:ascii="Cormorant Garamond" w:hAnsi="Cormorant Garamond"/>
          <w:sz w:val="22"/>
        </w:rPr>
        <w:t xml:space="preserve">Viernes de la XXV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Eclesiastés (Cohélet) 3, 1-11</w:t>
      </w:r>
    </w:p>
    <w:p>
      <w:pPr/>
      <w:r>
        <w:rPr>
          <w:rFonts w:ascii="Cormorant Garamond" w:hAnsi="Cormorant Garamond"/>
          <w:sz w:val="22"/>
        </w:rPr>
        <w:t xml:space="preserve">Hay un tiempo para cada cosa</w:t>
      </w:r>
    </w:p>
    <w:p>
      <w:pPr/>
      <w:r>
        <w:rPr>
          <w:rFonts w:ascii="Cormorant Garamond" w:hAnsi="Cormorant Garamond"/>
          <w:sz w:val="22"/>
        </w:rPr>
        <w:t xml:space="preserve">y todo lo que hacemos bajo el sol tiene su tiempo.</w:t>
      </w:r>
    </w:p>
    <w:p>
      <w:pPr/>
      <w:r>
        <w:rPr>
          <w:rFonts w:ascii="Cormorant Garamond" w:hAnsi="Cormorant Garamond"/>
          <w:sz w:val="22"/>
        </w:rPr>
        <w:t xml:space="preserve">Hay un tiempo para nacer y otro para morir;</w:t>
      </w:r>
    </w:p>
    <w:p>
      <w:pPr/>
      <w:r>
        <w:rPr>
          <w:rFonts w:ascii="Cormorant Garamond" w:hAnsi="Cormorant Garamond"/>
          <w:sz w:val="22"/>
        </w:rPr>
        <w:t xml:space="preserve">uno para plantar y otro para arrancar lo plantado.</w:t>
      </w:r>
    </w:p>
    <w:p>
      <w:pPr/>
      <w:r>
        <w:rPr>
          <w:rFonts w:ascii="Cormorant Garamond" w:hAnsi="Cormorant Garamond"/>
          <w:sz w:val="22"/>
        </w:rPr>
        <w:t xml:space="preserve">Hay un tiempo para matar y otro para curar;</w:t>
      </w:r>
    </w:p>
    <w:p>
      <w:pPr/>
      <w:r>
        <w:rPr>
          <w:rFonts w:ascii="Cormorant Garamond" w:hAnsi="Cormorant Garamond"/>
          <w:sz w:val="22"/>
        </w:rPr>
        <w:t xml:space="preserve">uno para destruir y otro para edificar.</w:t>
      </w:r>
    </w:p>
    <w:p>
      <w:pPr/>
      <w:r>
        <w:rPr>
          <w:rFonts w:ascii="Cormorant Garamond" w:hAnsi="Cormorant Garamond"/>
          <w:sz w:val="22"/>
        </w:rPr>
        <w:t xml:space="preserve">Hay un tiempo para llorar y otro para reír;</w:t>
      </w:r>
    </w:p>
    <w:p>
      <w:pPr/>
      <w:r>
        <w:rPr>
          <w:rFonts w:ascii="Cormorant Garamond" w:hAnsi="Cormorant Garamond"/>
          <w:sz w:val="22"/>
        </w:rPr>
        <w:t xml:space="preserve">uno para gemir y otro para bailar.</w:t>
      </w:r>
    </w:p>
    <w:p>
      <w:pPr/>
      <w:r>
        <w:rPr>
          <w:rFonts w:ascii="Cormorant Garamond" w:hAnsi="Cormorant Garamond"/>
          <w:sz w:val="22"/>
        </w:rPr>
        <w:t xml:space="preserve">Hay un tiempo para lanzar piedras y otro para recogerlas;</w:t>
      </w:r>
    </w:p>
    <w:p>
      <w:pPr/>
      <w:r>
        <w:rPr>
          <w:rFonts w:ascii="Cormorant Garamond" w:hAnsi="Cormorant Garamond"/>
          <w:sz w:val="22"/>
        </w:rPr>
        <w:t xml:space="preserve">uno para abrazarse y otro para separarse.</w:t>
      </w:r>
    </w:p>
    <w:p>
      <w:pPr/>
      <w:r>
        <w:rPr>
          <w:rFonts w:ascii="Cormorant Garamond" w:hAnsi="Cormorant Garamond"/>
          <w:sz w:val="22"/>
        </w:rPr>
        <w:t xml:space="preserve">Hay un tiempo para ganar y otro para perder;</w:t>
      </w:r>
    </w:p>
    <w:p>
      <w:pPr/>
      <w:r>
        <w:rPr>
          <w:rFonts w:ascii="Cormorant Garamond" w:hAnsi="Cormorant Garamond"/>
          <w:sz w:val="22"/>
        </w:rPr>
        <w:t xml:space="preserve">uno para retener y otro para desechar.</w:t>
      </w:r>
    </w:p>
    <w:p>
      <w:pPr/>
      <w:r>
        <w:rPr>
          <w:rFonts w:ascii="Cormorant Garamond" w:hAnsi="Cormorant Garamond"/>
          <w:sz w:val="22"/>
        </w:rPr>
        <w:t xml:space="preserve">Hay un tiempo para rasgar y otro para coser;</w:t>
      </w:r>
    </w:p>
    <w:p>
      <w:pPr/>
      <w:r>
        <w:rPr>
          <w:rFonts w:ascii="Cormorant Garamond" w:hAnsi="Cormorant Garamond"/>
          <w:sz w:val="22"/>
        </w:rPr>
        <w:t xml:space="preserve">uno para callar y otro para hablar.</w:t>
      </w:r>
    </w:p>
    <w:p>
      <w:pPr/>
      <w:r>
        <w:rPr>
          <w:rFonts w:ascii="Cormorant Garamond" w:hAnsi="Cormorant Garamond"/>
          <w:sz w:val="22"/>
        </w:rPr>
        <w:t xml:space="preserve">Hay un tiempo para amar y otro para odiar;</w:t>
      </w:r>
    </w:p>
    <w:p>
      <w:pPr/>
      <w:r>
        <w:rPr>
          <w:rFonts w:ascii="Cormorant Garamond" w:hAnsi="Cormorant Garamond"/>
          <w:sz w:val="22"/>
        </w:rPr>
        <w:t xml:space="preserve">uno para hacer la guerra y otro para hacer la paz.</w:t>
      </w:r>
    </w:p>
    <w:p>
      <w:pPr/>
      <w:r>
        <w:rPr>
          <w:rFonts w:ascii="Cormorant Garamond" w:hAnsi="Cormorant Garamond"/>
          <w:sz w:val="22"/>
        </w:rPr>
        <w:t xml:space="preserve">¿Qué provecho saca el que se afana en su trabajo? He observado todas las tareas que Dios ha encomendado a los hombres para que en ellas se ocupen.</w:t>
      </w:r>
    </w:p>
    <w:p>
      <w:pPr/>
      <w:r>
        <w:rPr>
          <w:rFonts w:ascii="Cormorant Garamond" w:hAnsi="Cormorant Garamond"/>
          <w:sz w:val="22"/>
        </w:rPr>
        <w:t xml:space="preserve">Todo lo ha hecho Dios a su debido tiempo y le ha dado el mundo al hombre para que reflexione sobre él; pero el hombre no puede abarcar las obras de Dios desde el principio hasta el fin.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143, 1a y 2abc. 3-4</w:t>
      </w:r>
    </w:p>
    <w:p>
      <w:pPr/>
      <w:r>
        <w:rPr>
          <w:rFonts w:ascii="Cormorant Garamond" w:hAnsi="Cormorant Garamond"/>
          <w:sz w:val="22"/>
        </w:rPr>
        <w:t xml:space="preserve">R/. (1a) Bendito sea el Señor, mi fortaleza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Jesucristo vino a servir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Lucas 9, 18-22</w:t>
      </w:r>
    </w:p>
    <w:p>
      <w:pPr/>
      <w:r>
        <w:rPr>
          <w:rFonts w:ascii="Cormorant Garamond" w:hAnsi="Cormorant Garamond"/>
          <w:sz w:val="22"/>
        </w:rPr>
        <w:t xml:space="preserve">Un día en que Jesús, acompañado de sus discípulos, había ido a un lugar solitario para orar, les preguntó: "¿Quién dice la gente que soy yo?" Ellos contestaron: "Unos dicen que eres Juan el Bautista; otros, que Elías; y otros, que alguno de los antiguos profetas, que ha resucitado".</w:t>
      </w:r>
    </w:p>
    <w:p>
      <w:pPr/>
      <w:r>
        <w:rPr>
          <w:rFonts w:ascii="Cormorant Garamond" w:hAnsi="Cormorant Garamond"/>
          <w:sz w:val="22"/>
        </w:rPr>
        <w:t xml:space="preserve">Él les dijo: "Y ustedes, ¿quién dicen que soy yo?" Respondió Pedro: "El Mesías de Dios". Entonces Jesús les ordenó severamente que no lo dijeran a nadie.</w:t>
      </w:r>
    </w:p>
    <w:p>
      <w:pPr/>
      <w:r>
        <w:rPr>
          <w:rFonts w:ascii="Cormorant Garamond" w:hAnsi="Cormorant Garamond"/>
          <w:sz w:val="22"/>
        </w:rPr>
        <w:t xml:space="preserve">Después les dijo: "Es necesario que el Hijo del hombre sufra mucho, que sea rechazado por los ancianos, los sumos sacerdotes y los escribas, que sea entregado a la muerte y que resucite al tercer día".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«¡Ah!, Dios mío!, que la mayor parte de los hombres prosiguen hoy gritando: “No a éste, sino a Barrabás”, cada vez que menosprecian a Cristo por un placer, por puntillos de honra, por un desahogo de cólera» (San Alfonso Mª de Ligorio)</w:t>
      </w:r>
    </w:p>
    <w:p>
      <w:pPr/>
      <w:r>
        <w:rPr>
          <w:rFonts w:ascii="Cormorant Garamond" w:hAnsi="Cormorant Garamond"/>
          <w:sz w:val="22"/>
        </w:rPr>
        <w:t xml:space="preserve">«El acontecimiento de la Cruz sólo revela su sentido pleno si ‘este hombre’, que sufrió y murió en la Cruz, ‘era verdaderamente Hijo de Dios’, usando las palabras pronunciadas por el centurión ante el Crucificado» (Benedicto XVI)</w:t>
      </w:r>
    </w:p>
    <w:p>
      <w:pPr/>
      <w:r>
        <w:rPr>
          <w:rFonts w:ascii="Cormorant Garamond" w:hAnsi="Cormorant Garamond"/>
          <w:sz w:val="22"/>
        </w:rPr>
        <w:t xml:space="preserve">«Ya que son nuestras malas acciones las que han hecho sufrir a Nuestro Señor Jesucristo el suplicio de la cruz, sin ninguna duda, los que se sumergen en los desórdenes y en el mal ‘crucifican por su parte de nuevo al Hijo de Dios y le exponen a pública infamia’ (Hb 6,6) (…)» (Catecismo de la Iglesia Católica, nº 598)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Compartir nuestra esperanza.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