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XII semana del Tiempo ordinario</w:t>
      </w:r>
    </w:p>
    <w:p>
      <w:pPr/>
      <w:r>
        <w:rPr>
          <w:rFonts w:ascii="Cormorant Garamond" w:hAnsi="Cormorant Garamond"/>
          <w:sz w:val="22"/>
        </w:rPr>
        <w:t xml:space="preserve">Lunes 22 de junio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«Entonces verás claro»</w:t>
      </w:r>
    </w:p>
    <w:p>
      <w:pPr/>
      <w:r>
        <w:rPr>
          <w:rFonts w:ascii="Cormorant Garamond" w:hAnsi="Cormorant Garamond"/>
          <w:sz w:val="22"/>
        </w:rPr>
        <w:t xml:space="preserve">Lunes de la XII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segundo libro de los Reyes (17, 5-8. 13-15. 18)</w:t>
      </w:r>
    </w:p>
    <w:p>
      <w:pPr/>
      <w:r>
        <w:rPr>
          <w:rFonts w:ascii="Cormorant Garamond" w:hAnsi="Cormorant Garamond"/>
          <w:sz w:val="22"/>
        </w:rPr>
        <w:t xml:space="preserve">En aquellos días, Salmanasar, rey de Asiria, invadió el país, llegó a Samaria y la sitió durante tres años. En el año noveno de Oseas, el rey de Asiria ocupó Samaria y deportó a los israelitas a Asiria. Los instaló en Jalaj, junto al Jabor, río de Gozán, y en las ciudades de Media. Esto sucedió porque los hijos de Israel habían pecado contra el Señor, su Dios, que los sacó de la tierra de Egipto, y habían adorado a otros dioses, siguiendo las costumbres de las naciones que el Señor había exterminado a su llegada y que sus mismos reyes habían introducido. El Señor había advertido a Israel y a Judá, por boca de todos los profetas y videntes, diciendo: “Enderecen sus malos caminos y cumplan mis mandamientos y preceptos, conforme a la ley que impuse a sus padres y que les manifesté por medio de mis siervos, los profetas”. Pero ellos no escucharon y endurecieron su corazón como lo habían hecho sus padres, que no quisieron obedecer al Señor, su Dios. Despreciaron sus decretos, la alianza que estableció con sus padres y las advertencias que les hizo. El Señor se enojó mucho contra Israel y lo arrojó de su presencia, y solamente quedó la tribu de Judá.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59</w:t>
      </w:r>
    </w:p>
    <w:p>
      <w:pPr/>
      <w:r>
        <w:rPr>
          <w:rFonts w:ascii="Cormorant Garamond" w:hAnsi="Cormorant Garamond"/>
          <w:sz w:val="22"/>
        </w:rPr>
        <w:t xml:space="preserve">R/. Escúchanos, Señor, y sálvanos.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La palabra de Dios es viva y eficaz, y descubre los pensamientos e intenciones del corazón.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(7, 1-5)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“No juzguen y no serán juzgados; porque así como juzguen los juzgarán y con la medida que midan los medirán. ¿Por qué miras la paja en el ojo de tu hermano y no te das cuenta de la viga que tienes en el tuyo? ¿Con qué cara le dices a tu hermano: ‘Déjame quitarte la paja que llevas en el ojo’, cuando tú llevas una viga en el tuyo? ¡Hipócrita! Sácate primero la viga que tienes en el ojo, y luego podrás ver bien para sacarle a tu hermano la paja que lleva en el suyo”.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«Los hombres sin remedio son aquellos que dejan de atender a sus propios pecados para fijarse en los de los demás. No buscan lo que hay que corregir, sino en qué pueden morder» (San Agustín)</w:t>
      </w:r>
    </w:p>
    <w:p>
      <w:pPr/>
      <w:r>
        <w:rPr>
          <w:rFonts w:ascii="Cormorant Garamond" w:hAnsi="Cormorant Garamond"/>
          <w:sz w:val="22"/>
        </w:rPr>
        <w:t xml:space="preserve">«No se puede corregir a una persona sin amor y sin caridad. La caridad es como una anestesia que ayuda a recibir la cura y aceptar la corrección» (Francisco)</w:t>
      </w:r>
    </w:p>
    <w:p>
      <w:pPr/>
      <w:r>
        <w:rPr>
          <w:rFonts w:ascii="Cormorant Garamond" w:hAnsi="Cormorant Garamond"/>
          <w:sz w:val="22"/>
        </w:rPr>
        <w:t xml:space="preserve">«La caridad tiene por frutos el gozo, la paz y la misericordia. Exige la práctica del bien y la corrección fraterna; es benevolencia; suscita la reciprocidad; es siempre desinteresada y generosa; es amistad y comunión» (Catecismo de la Iglesia Católica, nº 1.829)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Juzgar menos y comprender más. Antes de criticar o señalar errores ajenos, detenerse a mirar la propia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